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F3E98">
      <w:pPr>
        <w:spacing w:line="360" w:lineRule="auto"/>
        <w:ind w:firstLine="548" w:firstLineChars="195"/>
        <w:jc w:val="center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江苏省研究生科研与实践创新计划结题要求</w:t>
      </w:r>
    </w:p>
    <w:p w14:paraId="54B792CC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受资助后研究生科研工作时间一般不少于1年，发表的论文、专著等成果均应标注“江苏省研究生科研与实践创新计划项目（Postgraduate Research＆Practice Innovation Program of Jiangsu Province）”及项目批准号，</w:t>
      </w:r>
      <w:r>
        <w:rPr>
          <w:rFonts w:hint="eastAsia"/>
          <w:color w:val="FF0000"/>
          <w:szCs w:val="21"/>
        </w:rPr>
        <w:t>未标注的不得作为结题评价材料</w:t>
      </w:r>
      <w:r>
        <w:rPr>
          <w:rFonts w:hint="eastAsia"/>
          <w:szCs w:val="21"/>
        </w:rPr>
        <w:t>。至少要有</w:t>
      </w:r>
      <w:r>
        <w:rPr>
          <w:rFonts w:hint="eastAsia"/>
          <w:b/>
          <w:color w:val="FF0000"/>
          <w:szCs w:val="21"/>
        </w:rPr>
        <w:t>一篇</w:t>
      </w:r>
      <w:r>
        <w:rPr>
          <w:rFonts w:hint="eastAsia"/>
          <w:szCs w:val="21"/>
        </w:rPr>
        <w:t>科研成果上要有以上标注，否则不能结题。</w:t>
      </w:r>
    </w:p>
    <w:p w14:paraId="6CCA3673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研究生的成果是指自入学之日起发表的学术论文、获得的科研奖励、获授权的发明专利，以及校学位评定委员会认定的其他成果。用于申请结题的成果应与所申请的创新计划内容相关。</w:t>
      </w:r>
    </w:p>
    <w:p w14:paraId="26B99AE8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所有学术论文</w:t>
      </w:r>
      <w:r>
        <w:rPr>
          <w:rFonts w:hint="eastAsia"/>
          <w:color w:val="FF0000"/>
          <w:szCs w:val="21"/>
        </w:rPr>
        <w:t>必须是期刊论文</w:t>
      </w:r>
      <w:r>
        <w:rPr>
          <w:rFonts w:hint="eastAsia"/>
          <w:szCs w:val="21"/>
        </w:rPr>
        <w:t>，计算机学会指定的CCFA类会议论文亦可以作为结题成果，所有</w:t>
      </w:r>
      <w:r>
        <w:rPr>
          <w:rFonts w:hint="eastAsia"/>
          <w:color w:val="FF0000"/>
          <w:szCs w:val="21"/>
          <w:lang w:eastAsia="zh-CN"/>
        </w:rPr>
        <w:t>结题</w:t>
      </w:r>
      <w:r>
        <w:rPr>
          <w:rFonts w:hint="eastAsia"/>
          <w:color w:val="FF0000"/>
          <w:szCs w:val="21"/>
        </w:rPr>
        <w:t>成果</w:t>
      </w:r>
      <w:r>
        <w:rPr>
          <w:rFonts w:hint="eastAsia"/>
          <w:szCs w:val="21"/>
        </w:rPr>
        <w:t>须以东南大学为第一署名单位，即论文第一作者和第一通讯作者的第一署名单位必须均为“东南大学”或“东南大学某机构”。申请者本人必须是论文的第一作者。科研奖励证书必须以东南大学为第一署名单位，申请者为主要完成人且有个人获奖证书。授权的发明专利必须以东南大学为第一专利权人，申请者为第一或是第二发明人。</w:t>
      </w:r>
    </w:p>
    <w:p w14:paraId="4CCB57D9">
      <w:pPr>
        <w:spacing w:line="360" w:lineRule="auto"/>
        <w:ind w:firstLine="548" w:firstLineChars="195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期刊认定标准</w:t>
      </w:r>
    </w:p>
    <w:p w14:paraId="2F6D97A3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1、博士生的学术论文应发表在 SCIE、SSCI、A＆HCI、EI、MI、CSSCI（核心版）、CSCD（核心版）、《中文核心期刊要目总览》（北大图书馆编著，以论文发表当年的版本为准）的“来源期刊”（后称“源刊”）上，但不包括这些学术期刊的增刊、专刊等非正常出版的刊物。</w:t>
      </w:r>
    </w:p>
    <w:p w14:paraId="40CC24A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2、在东南大学主办的学术期刊上发表的论文只计一篇。</w:t>
      </w:r>
    </w:p>
    <w:p w14:paraId="4773714A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3、本标准中的“源刊”是指SCIE、SSCI、A＆HCI、EI、MI、CSSCI（核心版）、CSCD（核心版）、《中文核心期刊要目总览》（北大图书馆编著）等中外检索系统的来源期刊（在相关中外文数据库中可检索到）。</w:t>
      </w:r>
    </w:p>
    <w:p w14:paraId="22FAA247">
      <w:pPr>
        <w:spacing w:line="360" w:lineRule="auto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考核方案</w:t>
      </w:r>
    </w:p>
    <w:p w14:paraId="27A04443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．理工科（建筑学、城乡规划学、风景园林学、生物学除外）博士研究生至少发表3篇SCI检索论文。期中在JCR分区表中指定相应学科领域Q1、Q2区期刊学术论文至少1篇。或在SCI源刊上发表论文2篇，且获授权的发明专利2件。计算机学会指定的CCFA类会议论文且被SCI收录，可以等同于SCI检索论文。</w:t>
      </w:r>
    </w:p>
    <w:p w14:paraId="61CA23A0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．建筑学院的博士满足以下条件：在SCI/SSCI/A＆HCI源刊或学科最高级别期刊上发表学术论文文3篇，其中被SCI/SSCI/A＆HCI收录学术论文至少1篇，或者获授权国家发明专利1件，或者获教育部、各省市颁发的规划设计奖（主要获奖人且有个人获奖证书）1项，或者获国际国内重要学生竞赛奖（排名前三），或者获国际国内重要建筑展参展（主要参展人且有个人参展证书）。</w:t>
      </w:r>
    </w:p>
    <w:p w14:paraId="0E93681E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学科重要期刊、规划设计奖、建筑展、学生竞赛目录参见学科学位评定分委会附表。见：关于印发《东南大学博士研究生申请博士学位的成果考核标准（2018版）》的通知（校发[2018]13号）</w:t>
      </w:r>
    </w:p>
    <w:p w14:paraId="6093EA5C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3．医学、生物学博士研究生至少发表3篇SCI/MI/EI检索论文，SCI检索论文至少2篇，其中至少有1篇为JCR分区表中指定学科领域Q2区以上的期刊论文。</w:t>
      </w:r>
    </w:p>
    <w:p w14:paraId="5D9A65B9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4．文科类（除艺术学类）博士研究生发表学术论文3篇SSCI/A&amp;HCI/CSSCI检索论文，其中至少有1篇SSCI或A＆HCI检索论文。</w:t>
      </w:r>
    </w:p>
    <w:p w14:paraId="46B8ECAE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5.艺术学类博士研究生，须满足：在SSCI/A＆HCI源刊上发表学术论文1篇，且在CSSCI（核心版）源刊上发表学术论文2篇，或在CSSCI（核心版）源刊上发表学术论文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篇</w:t>
      </w:r>
      <w:bookmarkStart w:id="0" w:name="_GoBack"/>
      <w:bookmarkEnd w:id="0"/>
      <w:r>
        <w:rPr>
          <w:rFonts w:hint="eastAsia"/>
          <w:szCs w:val="21"/>
        </w:rPr>
        <w:t>。</w:t>
      </w:r>
    </w:p>
    <w:p w14:paraId="111D0189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6.经济学、管理学类博士生须在SCI/A＆HCI/EI/CSSCI（核心版）/CSCD（核心版）源刊上发表学术论文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篇，其中至少有1篇学术论文被SCI/A＆HCI收录。</w:t>
      </w:r>
    </w:p>
    <w:p w14:paraId="6A1BB9EA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7．在高影响因子的SCI杂志发表论文（由相关学位评定分委会认定）1篇，亦可以申请结题。</w:t>
      </w:r>
    </w:p>
    <w:p w14:paraId="4A7A7625">
      <w:r>
        <w:rPr>
          <w:rFonts w:hint="eastAsia"/>
          <w:szCs w:val="21"/>
        </w:rPr>
        <w:t>附注：获得部、省级二等奖及以上（排名在前三名）和获得国家发明专利授权（排名在前两名）的创造性工程技术成果可等同EI检索论文1篇；获得国家科技进步二等奖及以上（排名在前五名）可等同于EI检索论文2篇；文科类博士研究生出版15万字以上与论文选题有关的专著可等同于CSSCI检索论文3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GZkZWVlMjAzNzY3MDllOTEyOGYxYzk4YjhjNjYifQ=="/>
  </w:docVars>
  <w:rsids>
    <w:rsidRoot w:val="00B53478"/>
    <w:rsid w:val="000B6772"/>
    <w:rsid w:val="00645741"/>
    <w:rsid w:val="00697459"/>
    <w:rsid w:val="00B53478"/>
    <w:rsid w:val="00B900AC"/>
    <w:rsid w:val="00C366BC"/>
    <w:rsid w:val="00C47B4F"/>
    <w:rsid w:val="32F65E02"/>
    <w:rsid w:val="39CA6B44"/>
    <w:rsid w:val="40C25E6F"/>
    <w:rsid w:val="4F99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1477</Words>
  <Characters>1703</Characters>
  <Lines>12</Lines>
  <Paragraphs>3</Paragraphs>
  <TotalTime>7</TotalTime>
  <ScaleCrop>false</ScaleCrop>
  <LinksUpToDate>false</LinksUpToDate>
  <CharactersWithSpaces>1710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2023-02-24T01:34:00Z</dcterms:created>
  <dc:creator>dell</dc:creator>
  <cp:lastModifiedBy>杨鹏</cp:lastModifiedBy>
  <dcterms:modified xsi:type="dcterms:W3CDTF">2025-02-17T09:24:35Z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0EDED761D572464A849E81D13896C2BE</vt:lpwstr>
  </property>
</Properties>
</file>